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89C" w:rsidRPr="00E34069" w:rsidRDefault="0064389C" w:rsidP="0064389C">
      <w:pPr>
        <w:spacing w:line="500" w:lineRule="exact"/>
        <w:jc w:val="center"/>
        <w:rPr>
          <w:rFonts w:ascii="標楷體" w:eastAsia="標楷體"/>
          <w:b/>
          <w:bCs/>
          <w:color w:val="0D0D0D" w:themeColor="text1" w:themeTint="F2"/>
          <w:sz w:val="36"/>
          <w:szCs w:val="36"/>
        </w:rPr>
      </w:pPr>
      <w:bookmarkStart w:id="0" w:name="_GoBack"/>
      <w:r w:rsidRPr="00E34069">
        <w:rPr>
          <w:rFonts w:ascii="標楷體" w:eastAsia="標楷體" w:hint="eastAsia"/>
          <w:b/>
          <w:bCs/>
          <w:color w:val="0D0D0D" w:themeColor="text1" w:themeTint="F2"/>
          <w:sz w:val="36"/>
          <w:szCs w:val="36"/>
        </w:rPr>
        <w:t>衛生福利部工程施工查核小組</w:t>
      </w:r>
    </w:p>
    <w:p w:rsidR="0064389C" w:rsidRPr="00E34069" w:rsidRDefault="0064389C" w:rsidP="0064389C">
      <w:pPr>
        <w:pStyle w:val="a7"/>
        <w:spacing w:line="500" w:lineRule="exact"/>
        <w:ind w:left="1400" w:hanging="1400"/>
        <w:jc w:val="center"/>
        <w:rPr>
          <w:rFonts w:eastAsia="標楷體"/>
          <w:b/>
          <w:color w:val="0D0D0D" w:themeColor="text1" w:themeTint="F2"/>
          <w:sz w:val="36"/>
        </w:rPr>
      </w:pPr>
      <w:r w:rsidRPr="00E34069">
        <w:rPr>
          <w:rFonts w:eastAsia="標楷體"/>
          <w:b/>
          <w:color w:val="0D0D0D" w:themeColor="text1" w:themeTint="F2"/>
          <w:sz w:val="36"/>
        </w:rPr>
        <w:t xml:space="preserve"> </w:t>
      </w:r>
      <w:r w:rsidRPr="00E34069">
        <w:rPr>
          <w:rFonts w:eastAsia="標楷體" w:hint="eastAsia"/>
          <w:b/>
          <w:color w:val="0D0D0D" w:themeColor="text1" w:themeTint="F2"/>
          <w:sz w:val="36"/>
        </w:rPr>
        <w:t>口頭簡報內容要</w:t>
      </w:r>
      <w:r w:rsidR="004C4CBE" w:rsidRPr="00E34069">
        <w:rPr>
          <w:rFonts w:eastAsia="標楷體" w:hint="eastAsia"/>
          <w:b/>
          <w:color w:val="0D0D0D" w:themeColor="text1" w:themeTint="F2"/>
          <w:sz w:val="36"/>
        </w:rPr>
        <w:t>項</w:t>
      </w:r>
      <w:r w:rsidRPr="00E34069">
        <w:rPr>
          <w:rFonts w:eastAsia="標楷體"/>
          <w:b/>
          <w:bCs/>
          <w:color w:val="0D0D0D" w:themeColor="text1" w:themeTint="F2"/>
          <w:sz w:val="36"/>
          <w:szCs w:val="36"/>
        </w:rPr>
        <w:t>(1,000</w:t>
      </w:r>
      <w:r w:rsidRPr="00E34069">
        <w:rPr>
          <w:rFonts w:eastAsia="標楷體" w:hint="eastAsia"/>
          <w:b/>
          <w:bCs/>
          <w:color w:val="0D0D0D" w:themeColor="text1" w:themeTint="F2"/>
          <w:sz w:val="36"/>
          <w:szCs w:val="36"/>
        </w:rPr>
        <w:t>萬元以上工程</w:t>
      </w:r>
      <w:r w:rsidRPr="00E34069">
        <w:rPr>
          <w:rFonts w:eastAsia="標楷體"/>
          <w:b/>
          <w:bCs/>
          <w:color w:val="0D0D0D" w:themeColor="text1" w:themeTint="F2"/>
          <w:sz w:val="36"/>
          <w:szCs w:val="36"/>
        </w:rPr>
        <w:t>)</w:t>
      </w:r>
    </w:p>
    <w:p w:rsidR="00A83A68" w:rsidRPr="00E34069" w:rsidRDefault="0064389C" w:rsidP="0064389C">
      <w:pPr>
        <w:spacing w:line="240" w:lineRule="atLeast"/>
        <w:jc w:val="center"/>
        <w:rPr>
          <w:rFonts w:eastAsia="標楷體"/>
          <w:b/>
          <w:bCs/>
          <w:color w:val="0D0D0D" w:themeColor="text1" w:themeTint="F2"/>
          <w:sz w:val="36"/>
          <w:szCs w:val="36"/>
        </w:rPr>
      </w:pPr>
      <w:r w:rsidRPr="00E34069">
        <w:rPr>
          <w:rFonts w:eastAsia="標楷體"/>
          <w:b/>
          <w:color w:val="0D0D0D" w:themeColor="text1" w:themeTint="F2"/>
          <w:sz w:val="36"/>
        </w:rPr>
        <w:t xml:space="preserve">  </w:t>
      </w:r>
      <w:r w:rsidRPr="00E34069">
        <w:rPr>
          <w:rFonts w:eastAsia="標楷體" w:hint="eastAsia"/>
          <w:b/>
          <w:color w:val="0D0D0D" w:themeColor="text1" w:themeTint="F2"/>
          <w:sz w:val="32"/>
          <w:szCs w:val="32"/>
        </w:rPr>
        <w:t>（</w:t>
      </w:r>
      <w:r w:rsidRPr="00E34069">
        <w:rPr>
          <w:rFonts w:eastAsia="標楷體" w:hint="eastAsia"/>
          <w:b/>
          <w:color w:val="0D0D0D" w:themeColor="text1" w:themeTint="F2"/>
          <w:sz w:val="32"/>
          <w:szCs w:val="32"/>
          <w:u w:val="single"/>
        </w:rPr>
        <w:t>預先通知使用</w:t>
      </w:r>
      <w:r w:rsidRPr="00E34069">
        <w:rPr>
          <w:rFonts w:eastAsia="標楷體" w:hint="eastAsia"/>
          <w:b/>
          <w:color w:val="0D0D0D" w:themeColor="text1" w:themeTint="F2"/>
          <w:sz w:val="32"/>
          <w:szCs w:val="32"/>
        </w:rPr>
        <w:t>）</w:t>
      </w:r>
    </w:p>
    <w:p w:rsidR="00A83A68" w:rsidRPr="00E34069" w:rsidRDefault="00A83A68" w:rsidP="00A42D28">
      <w:pPr>
        <w:spacing w:line="240" w:lineRule="atLeast"/>
        <w:jc w:val="center"/>
        <w:rPr>
          <w:rFonts w:ascii="標楷體" w:eastAsia="標楷體"/>
          <w:color w:val="0D0D0D" w:themeColor="text1" w:themeTint="F2"/>
          <w:sz w:val="32"/>
          <w:szCs w:val="32"/>
          <w:u w:val="single"/>
        </w:rPr>
      </w:pPr>
      <w:r w:rsidRPr="00E34069">
        <w:rPr>
          <w:rFonts w:eastAsia="標楷體"/>
          <w:color w:val="0D0D0D" w:themeColor="text1" w:themeTint="F2"/>
          <w:sz w:val="32"/>
          <w:szCs w:val="32"/>
          <w:u w:val="single"/>
        </w:rPr>
        <w:t>(</w:t>
      </w:r>
      <w:r w:rsidRPr="00E34069">
        <w:rPr>
          <w:rFonts w:eastAsia="標楷體"/>
          <w:color w:val="0D0D0D" w:themeColor="text1" w:themeTint="F2"/>
          <w:sz w:val="32"/>
          <w:szCs w:val="32"/>
          <w:u w:val="single"/>
        </w:rPr>
        <w:t>請依查核工程重點擇要說明</w:t>
      </w:r>
      <w:r w:rsidRPr="00E34069">
        <w:rPr>
          <w:rFonts w:ascii="標楷體" w:eastAsia="標楷體" w:hint="eastAsia"/>
          <w:color w:val="0D0D0D" w:themeColor="text1" w:themeTint="F2"/>
          <w:sz w:val="32"/>
          <w:szCs w:val="32"/>
          <w:u w:val="single"/>
        </w:rPr>
        <w:t>並請確實掌握時間</w:t>
      </w:r>
      <w:r w:rsidRPr="00E34069">
        <w:rPr>
          <w:rFonts w:ascii="標楷體" w:eastAsia="標楷體"/>
          <w:color w:val="0D0D0D" w:themeColor="text1" w:themeTint="F2"/>
          <w:sz w:val="32"/>
          <w:szCs w:val="32"/>
          <w:u w:val="single"/>
        </w:rPr>
        <w:t>)</w:t>
      </w:r>
    </w:p>
    <w:p w:rsidR="00A83A68" w:rsidRPr="00E34069" w:rsidRDefault="00A83A68" w:rsidP="007A22BB">
      <w:pPr>
        <w:spacing w:beforeLines="50" w:before="120" w:line="240" w:lineRule="atLeast"/>
        <w:rPr>
          <w:rFonts w:eastAsia="標楷體"/>
          <w:b/>
          <w:bCs/>
          <w:color w:val="0D0D0D" w:themeColor="text1" w:themeTint="F2"/>
          <w:sz w:val="32"/>
          <w:szCs w:val="32"/>
        </w:rPr>
      </w:pP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一、主辦單位及專案管理廠</w:t>
      </w:r>
      <w:r w:rsidRPr="00E34069">
        <w:rPr>
          <w:rFonts w:eastAsia="標楷體"/>
          <w:b/>
          <w:bCs/>
          <w:color w:val="0D0D0D" w:themeColor="text1" w:themeTint="F2"/>
          <w:sz w:val="32"/>
          <w:szCs w:val="32"/>
        </w:rPr>
        <w:t>商</w:t>
      </w:r>
      <w:r w:rsidRPr="00E34069">
        <w:rPr>
          <w:rFonts w:eastAsia="標楷體"/>
          <w:b/>
          <w:bCs/>
          <w:color w:val="0D0D0D" w:themeColor="text1" w:themeTint="F2"/>
          <w:sz w:val="32"/>
          <w:szCs w:val="32"/>
        </w:rPr>
        <w:t>(10</w:t>
      </w:r>
      <w:r w:rsidRPr="00E34069">
        <w:rPr>
          <w:rFonts w:eastAsia="標楷體"/>
          <w:b/>
          <w:bCs/>
          <w:color w:val="0D0D0D" w:themeColor="text1" w:themeTint="F2"/>
          <w:sz w:val="32"/>
          <w:szCs w:val="32"/>
        </w:rPr>
        <w:t>分鐘</w:t>
      </w:r>
      <w:r w:rsidRPr="00E34069">
        <w:rPr>
          <w:rFonts w:eastAsia="標楷體"/>
          <w:b/>
          <w:bCs/>
          <w:color w:val="0D0D0D" w:themeColor="text1" w:themeTint="F2"/>
          <w:sz w:val="32"/>
          <w:szCs w:val="32"/>
        </w:rPr>
        <w:t>)</w:t>
      </w:r>
      <w:r w:rsidRPr="00E34069">
        <w:rPr>
          <w:rFonts w:eastAsia="標楷體"/>
          <w:b/>
          <w:bCs/>
          <w:color w:val="0D0D0D" w:themeColor="text1" w:themeTint="F2"/>
          <w:sz w:val="32"/>
          <w:szCs w:val="32"/>
        </w:rPr>
        <w:t>：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一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人員介紹（包含現場監造單位及承攬廠商）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二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計畫緣起及工程概要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三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工程執行情形概況</w:t>
      </w:r>
    </w:p>
    <w:p w:rsidR="00A83A68" w:rsidRPr="00E34069" w:rsidRDefault="00A83A68" w:rsidP="00D42FA1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各項計畫書審查核定情形。</w:t>
      </w:r>
    </w:p>
    <w:p w:rsidR="00A83A68" w:rsidRPr="00E34069" w:rsidRDefault="00A83A68" w:rsidP="0035568B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材料設備核定情形及材料抽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試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驗相關報告次數頻率。</w:t>
      </w:r>
    </w:p>
    <w:p w:rsidR="00A83A68" w:rsidRPr="00E34069" w:rsidRDefault="00A83A68" w:rsidP="00D224C9">
      <w:pPr>
        <w:spacing w:line="240" w:lineRule="atLeast"/>
        <w:ind w:leftChars="250" w:left="900" w:hangingChars="107" w:hanging="30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是否有針對鋼筋、混凝土、瀝青混凝土及工程會規定項目送由契約明定由符合</w:t>
      </w:r>
      <w:r w:rsidRPr="00E34069">
        <w:rPr>
          <w:rFonts w:ascii="標楷體" w:eastAsia="標楷體"/>
          <w:color w:val="0D0D0D" w:themeColor="text1" w:themeTint="F2"/>
          <w:sz w:val="28"/>
        </w:rPr>
        <w:t>CNS 17025(ISO/IEC17025)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規定之實驗室辦理。</w:t>
      </w:r>
    </w:p>
    <w:p w:rsidR="00A83A68" w:rsidRPr="00E34069" w:rsidRDefault="00DE4EEF" w:rsidP="00D42FA1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int="eastAsia"/>
          <w:color w:val="0D0D0D" w:themeColor="text1" w:themeTint="F2"/>
          <w:sz w:val="28"/>
        </w:rPr>
        <w:t>4</w:t>
      </w:r>
      <w:r w:rsidR="00A83A68" w:rsidRPr="00E34069">
        <w:rPr>
          <w:rFonts w:ascii="標楷體" w:eastAsia="標楷體"/>
          <w:color w:val="0D0D0D" w:themeColor="text1" w:themeTint="F2"/>
          <w:sz w:val="28"/>
        </w:rPr>
        <w:t>.</w:t>
      </w:r>
      <w:r w:rsidR="00A83A68" w:rsidRPr="00E34069">
        <w:rPr>
          <w:rFonts w:ascii="標楷體" w:eastAsia="標楷體" w:hint="eastAsia"/>
          <w:color w:val="0D0D0D" w:themeColor="text1" w:themeTint="F2"/>
          <w:sz w:val="28"/>
        </w:rPr>
        <w:t>預算執行狀況（</w:t>
      </w:r>
      <w:r w:rsidR="00A83A68" w:rsidRPr="00E34069">
        <w:rPr>
          <w:rFonts w:ascii="標楷體" w:eastAsia="標楷體" w:hint="eastAsia"/>
          <w:b/>
          <w:color w:val="0D0D0D" w:themeColor="text1" w:themeTint="F2"/>
          <w:sz w:val="28"/>
        </w:rPr>
        <w:t>估驗計價辦理情形</w:t>
      </w:r>
      <w:r w:rsidR="00A83A68" w:rsidRPr="00E34069">
        <w:rPr>
          <w:rFonts w:ascii="標楷體" w:eastAsia="標楷體" w:hint="eastAsia"/>
          <w:color w:val="0D0D0D" w:themeColor="text1" w:themeTint="F2"/>
          <w:sz w:val="28"/>
        </w:rPr>
        <w:t>）、目前工程進度報告及目前工程執行</w:t>
      </w:r>
    </w:p>
    <w:p w:rsidR="00A83A68" w:rsidRPr="00E34069" w:rsidRDefault="00A83A68" w:rsidP="00D42FA1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 xml:space="preserve">  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現況。</w:t>
      </w:r>
    </w:p>
    <w:p w:rsidR="00A83A68" w:rsidRPr="00E34069" w:rsidRDefault="00DE4EEF" w:rsidP="00657D4D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int="eastAsia"/>
          <w:color w:val="0D0D0D" w:themeColor="text1" w:themeTint="F2"/>
          <w:sz w:val="28"/>
        </w:rPr>
        <w:t>5</w:t>
      </w:r>
      <w:r w:rsidR="00A83A68" w:rsidRPr="00E34069">
        <w:rPr>
          <w:rFonts w:ascii="標楷體" w:eastAsia="標楷體"/>
          <w:color w:val="0D0D0D" w:themeColor="text1" w:themeTint="F2"/>
          <w:sz w:val="28"/>
        </w:rPr>
        <w:t>.</w:t>
      </w:r>
      <w:r w:rsidR="00A83A68" w:rsidRPr="00E34069">
        <w:rPr>
          <w:rFonts w:ascii="標楷體" w:eastAsia="標楷體" w:hint="eastAsia"/>
          <w:color w:val="0D0D0D" w:themeColor="text1" w:themeTint="F2"/>
          <w:sz w:val="28"/>
        </w:rPr>
        <w:t>工程進度時效管控情形說明。</w:t>
      </w:r>
    </w:p>
    <w:p w:rsidR="00A83A68" w:rsidRPr="00E34069" w:rsidRDefault="00DE4EEF" w:rsidP="00443557">
      <w:pPr>
        <w:pStyle w:val="a9"/>
        <w:rPr>
          <w:color w:val="0D0D0D" w:themeColor="text1" w:themeTint="F2"/>
        </w:rPr>
      </w:pPr>
      <w:r w:rsidRPr="00E34069">
        <w:rPr>
          <w:rFonts w:hint="eastAsia"/>
          <w:color w:val="0D0D0D" w:themeColor="text1" w:themeTint="F2"/>
        </w:rPr>
        <w:t>6</w:t>
      </w:r>
      <w:r w:rsidR="00A83A68" w:rsidRPr="00E34069">
        <w:rPr>
          <w:color w:val="0D0D0D" w:themeColor="text1" w:themeTint="F2"/>
        </w:rPr>
        <w:t>.</w:t>
      </w:r>
      <w:r w:rsidR="00A83A68" w:rsidRPr="00E34069">
        <w:rPr>
          <w:rFonts w:hint="eastAsia"/>
          <w:color w:val="0D0D0D" w:themeColor="text1" w:themeTint="F2"/>
        </w:rPr>
        <w:t>查核或複查後缺失改善情形說明。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四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品質督導組織、督導機制及督導辦理情形</w:t>
      </w:r>
    </w:p>
    <w:p w:rsidR="00A83A68" w:rsidRPr="00E34069" w:rsidRDefault="00A83A68" w:rsidP="00D42FA1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品質督導組織參與人員。</w:t>
      </w:r>
    </w:p>
    <w:p w:rsidR="00A83A68" w:rsidRPr="00E34069" w:rsidRDefault="00A83A68" w:rsidP="00A42D28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督導頻率次數請詳列</w:t>
      </w:r>
      <w:r w:rsidRPr="00E34069">
        <w:rPr>
          <w:rFonts w:ascii="標楷體" w:eastAsia="標楷體" w:hint="eastAsia"/>
          <w:b/>
          <w:color w:val="0D0D0D" w:themeColor="text1" w:themeTint="F2"/>
          <w:sz w:val="28"/>
        </w:rPr>
        <w:t>（應包含不定期施工工項及材料之抽查驗）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。</w:t>
      </w:r>
    </w:p>
    <w:p w:rsidR="00A83A68" w:rsidRPr="00E34069" w:rsidRDefault="00A83A68" w:rsidP="00A42D28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督導情形紀錄及缺失追蹤改善辦理情形。</w:t>
      </w:r>
    </w:p>
    <w:p w:rsidR="00A83A68" w:rsidRPr="00E34069" w:rsidRDefault="00A83A68" w:rsidP="00D224C9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勞工安全衛生督導相關事項。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五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>工程高風險施工項目督導機制及防範相關作為。</w:t>
      </w:r>
    </w:p>
    <w:p w:rsidR="00A83A68" w:rsidRPr="00E34069" w:rsidRDefault="00A83A68" w:rsidP="001A7AB1">
      <w:pPr>
        <w:spacing w:line="240" w:lineRule="atLeast"/>
        <w:ind w:leftChars="250" w:left="771" w:hangingChars="61" w:hanging="171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督導或稽核工地安全衛生、交通維持及環境保護等。</w:t>
      </w:r>
    </w:p>
    <w:p w:rsidR="00A83A68" w:rsidRPr="00E34069" w:rsidRDefault="00A83A68" w:rsidP="00635D21">
      <w:pPr>
        <w:spacing w:line="240" w:lineRule="atLeast"/>
        <w:ind w:leftChars="250" w:left="900" w:hangingChars="107" w:hanging="30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防範高空作業墜落防止及施工架搭設或基地開挖等倒塌、崩塌防止等說明。</w:t>
      </w:r>
    </w:p>
    <w:p w:rsidR="00A83A68" w:rsidRPr="00E34069" w:rsidRDefault="00A83A68" w:rsidP="00635D21">
      <w:pPr>
        <w:spacing w:line="240" w:lineRule="atLeast"/>
        <w:ind w:leftChars="250" w:left="900" w:hangingChars="107" w:hanging="30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防範感電防止、工作場所災害防止、被撞防止、物體飛落防止等說明。</w:t>
      </w:r>
    </w:p>
    <w:p w:rsidR="00A83A68" w:rsidRPr="00E34069" w:rsidRDefault="00A83A68" w:rsidP="00635D21">
      <w:pPr>
        <w:spacing w:line="240" w:lineRule="atLeast"/>
        <w:ind w:leftChars="250" w:left="900" w:hangingChars="107" w:hanging="30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工區交通維持及安全管制措施。</w:t>
      </w:r>
    </w:p>
    <w:p w:rsidR="00A83A68" w:rsidRPr="00E34069" w:rsidRDefault="00A83A68" w:rsidP="00635D21">
      <w:pPr>
        <w:spacing w:line="240" w:lineRule="atLeast"/>
        <w:ind w:leftChars="250" w:left="900" w:hangingChars="107" w:hanging="30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5.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汛期工地防災減災措施。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六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專案管理廠商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協調及整合各工作項目界面情形。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審查或複核施工計畫、品管計畫、預訂進度、施工圖、器材樣品及其他送審資料，或審查、複核重要分包廠商及設備製造商資歷情形。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督導或稽核施工品質管理工作、工地安全衛生、交通維持及環境保護情形。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辦理施工進度之查核、分析及督導情形。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5.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協助機關辦理施工估驗計價之審查或複核情形。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lastRenderedPageBreak/>
        <w:t>6.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協助機關辦理契約變更之處理及建議情形。</w:t>
      </w:r>
    </w:p>
    <w:p w:rsidR="00A83A68" w:rsidRPr="00E34069" w:rsidRDefault="00A83A68" w:rsidP="007A22BB">
      <w:pPr>
        <w:spacing w:beforeLines="30" w:before="72" w:line="240" w:lineRule="atLeast"/>
        <w:ind w:leftChars="236" w:left="849" w:hangingChars="101" w:hanging="283"/>
        <w:rPr>
          <w:rFonts w:ascii="標楷體" w:eastAsia="標楷體"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Cs/>
          <w:color w:val="0D0D0D" w:themeColor="text1" w:themeTint="F2"/>
          <w:sz w:val="28"/>
        </w:rPr>
        <w:t>7.</w:t>
      </w:r>
      <w:r w:rsidRPr="00E34069">
        <w:rPr>
          <w:rFonts w:ascii="標楷體" w:eastAsia="標楷體" w:hint="eastAsia"/>
          <w:bCs/>
          <w:color w:val="0D0D0D" w:themeColor="text1" w:themeTint="F2"/>
          <w:sz w:val="28"/>
        </w:rPr>
        <w:t>協助機關辦理給排水、機電設備、管線、各種設施測試及試運轉之督導及建議情形。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七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其他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督導工作是否遭遇困難。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是否有變更設計。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是否有公安事故。</w:t>
      </w:r>
    </w:p>
    <w:p w:rsidR="00A83A68" w:rsidRPr="00E34069" w:rsidRDefault="00A83A68" w:rsidP="003D6A57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其他品質要求事項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如：綠建築指標、節能減碳、金質獎申辦…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等重點說明。</w:t>
      </w:r>
    </w:p>
    <w:p w:rsidR="00A83A68" w:rsidRPr="00E34069" w:rsidRDefault="00A83A68" w:rsidP="007A22BB">
      <w:pPr>
        <w:spacing w:beforeLines="100" w:before="240" w:line="240" w:lineRule="atLeast"/>
        <w:rPr>
          <w:rFonts w:ascii="標楷體" w:eastAsia="標楷體"/>
          <w:b/>
          <w:bCs/>
          <w:color w:val="0D0D0D" w:themeColor="text1" w:themeTint="F2"/>
          <w:sz w:val="32"/>
          <w:szCs w:val="32"/>
        </w:rPr>
      </w:pP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二、設計及監造單位</w:t>
      </w:r>
      <w:r w:rsidRPr="00E34069">
        <w:rPr>
          <w:rFonts w:ascii="標楷體" w:eastAsia="標楷體"/>
          <w:b/>
          <w:bCs/>
          <w:color w:val="0D0D0D" w:themeColor="text1" w:themeTint="F2"/>
          <w:sz w:val="32"/>
          <w:szCs w:val="32"/>
        </w:rPr>
        <w:t>(15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分鐘</w:t>
      </w:r>
      <w:r w:rsidRPr="00E34069">
        <w:rPr>
          <w:rFonts w:ascii="標楷體" w:eastAsia="標楷體"/>
          <w:b/>
          <w:bCs/>
          <w:color w:val="0D0D0D" w:themeColor="text1" w:themeTint="F2"/>
          <w:sz w:val="32"/>
          <w:szCs w:val="32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：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一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規劃設計要項與特色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二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監造組織及工程品管要項</w:t>
      </w:r>
    </w:p>
    <w:p w:rsidR="00A83A68" w:rsidRPr="00E34069" w:rsidRDefault="00A83A68" w:rsidP="00635D21">
      <w:pPr>
        <w:spacing w:line="240" w:lineRule="atLeast"/>
        <w:ind w:left="54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監造組織─組織架構與人員，權責分工重點說明。</w:t>
      </w:r>
    </w:p>
    <w:p w:rsidR="00A83A68" w:rsidRPr="00E34069" w:rsidRDefault="00A83A68" w:rsidP="008C46BB">
      <w:pPr>
        <w:spacing w:line="240" w:lineRule="atLeast"/>
        <w:ind w:leftChars="225" w:left="896" w:hangingChars="127" w:hanging="356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監造計畫─監造重點與特色，重要材料設備之品質管理標準，重要材料設備之檢驗停留點，機電設備檢測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單機、系統、整體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要項與標準，品質稽核範圍與頻率重點說明。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三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品質監督辦理情形</w:t>
      </w:r>
    </w:p>
    <w:p w:rsidR="00A83A68" w:rsidRPr="00E34069" w:rsidRDefault="00A83A68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計畫書─各項計畫書及分項計畫書之審查辦理情形。</w:t>
      </w:r>
    </w:p>
    <w:p w:rsidR="00A83A68" w:rsidRPr="00E34069" w:rsidRDefault="00A83A68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材料設備品管─材料設備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進場前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審查辦理情形，材料設備抽</w:t>
      </w:r>
      <w:r w:rsidRPr="00E34069">
        <w:rPr>
          <w:rFonts w:ascii="標楷體" w:eastAsia="標楷體"/>
          <w:color w:val="0D0D0D" w:themeColor="text1" w:themeTint="F2"/>
          <w:sz w:val="28"/>
        </w:rPr>
        <w:t>/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檢驗辦理情形，不合格品處置之監督重點說明。</w:t>
      </w:r>
    </w:p>
    <w:p w:rsidR="00A83A68" w:rsidRPr="00E34069" w:rsidRDefault="00A83A68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施工品管─施工抽</w:t>
      </w:r>
      <w:r w:rsidRPr="00E34069">
        <w:rPr>
          <w:rFonts w:ascii="標楷體" w:eastAsia="標楷體"/>
          <w:color w:val="0D0D0D" w:themeColor="text1" w:themeTint="F2"/>
          <w:sz w:val="28"/>
        </w:rPr>
        <w:t>/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查驗（含檢驗停留點及不定期查驗相關彙整統計表）辦理情形，</w:t>
      </w:r>
      <w:r w:rsidRPr="00E34069">
        <w:rPr>
          <w:rFonts w:ascii="標楷體" w:eastAsia="標楷體" w:hint="eastAsia"/>
          <w:b/>
          <w:color w:val="0D0D0D" w:themeColor="text1" w:themeTint="F2"/>
          <w:sz w:val="28"/>
        </w:rPr>
        <w:t>抽查驗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缺失追蹤改善監督，機電設備檢測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單機、系統、整體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監督，工程進度監督，勞工安全衛生監督，監造報表填寫重點說明。</w:t>
      </w:r>
    </w:p>
    <w:p w:rsidR="00A83A68" w:rsidRPr="00E34069" w:rsidRDefault="00A83A68" w:rsidP="00564F05">
      <w:pPr>
        <w:pStyle w:val="a7"/>
        <w:spacing w:after="0" w:line="340" w:lineRule="exact"/>
        <w:ind w:firstLineChars="50" w:firstLine="140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四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>工程高風險施工項目之危害預防作為及管控情形。</w:t>
      </w:r>
    </w:p>
    <w:p w:rsidR="00A83A68" w:rsidRPr="00E34069" w:rsidRDefault="00A83A68" w:rsidP="00D1339C">
      <w:pPr>
        <w:spacing w:line="400" w:lineRule="exact"/>
        <w:ind w:firstLineChars="202" w:firstLine="566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工地勞工安全衛生各項措施抽查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驗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情形說明。</w:t>
      </w:r>
    </w:p>
    <w:p w:rsidR="00A83A68" w:rsidRPr="00E34069" w:rsidRDefault="00A83A68" w:rsidP="00D1339C">
      <w:pPr>
        <w:spacing w:line="400" w:lineRule="exact"/>
        <w:ind w:left="3152" w:hanging="2585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2.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工區交通維持及安全管制措施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抽查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驗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情形說明。</w:t>
      </w:r>
    </w:p>
    <w:p w:rsidR="00A83A68" w:rsidRPr="00E34069" w:rsidRDefault="00A83A68" w:rsidP="00D1339C">
      <w:pPr>
        <w:spacing w:line="400" w:lineRule="exact"/>
        <w:ind w:left="1134" w:hanging="567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3.</w:t>
      </w:r>
      <w:r w:rsidRPr="00E34069">
        <w:rPr>
          <w:rFonts w:ascii="標楷體" w:eastAsia="標楷體" w:hAnsi="標楷體" w:hint="eastAsia"/>
          <w:bCs/>
          <w:color w:val="0D0D0D" w:themeColor="text1" w:themeTint="F2"/>
          <w:sz w:val="28"/>
          <w:szCs w:val="28"/>
        </w:rPr>
        <w:t>汛期工地防災減災措施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抽查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驗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情形說明。</w:t>
      </w:r>
    </w:p>
    <w:p w:rsidR="00360314" w:rsidRPr="00E34069" w:rsidRDefault="00360314" w:rsidP="00360314">
      <w:pPr>
        <w:spacing w:line="400" w:lineRule="exact"/>
        <w:ind w:left="1134" w:hanging="992"/>
        <w:jc w:val="both"/>
        <w:rPr>
          <w:rFonts w:ascii="標楷體" w:eastAsia="標楷體" w:hAnsi="標楷體"/>
          <w:bCs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int="eastAsia"/>
          <w:b/>
          <w:color w:val="0D0D0D" w:themeColor="text1" w:themeTint="F2"/>
          <w:sz w:val="28"/>
        </w:rPr>
        <w:t>(五)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 xml:space="preserve"> 工程查核動線規劃停留點及施工項目。</w:t>
      </w:r>
    </w:p>
    <w:p w:rsidR="00A83A68" w:rsidRPr="00E34069" w:rsidRDefault="00A83A68" w:rsidP="007A22BB">
      <w:pPr>
        <w:spacing w:beforeLines="30" w:before="72" w:line="240" w:lineRule="atLeast"/>
        <w:ind w:firstLineChars="50" w:firstLine="140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="00360314"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六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其他</w:t>
      </w:r>
    </w:p>
    <w:p w:rsidR="00A83A68" w:rsidRPr="00E34069" w:rsidRDefault="00A83A68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監造工作是否遭遇困難。</w:t>
      </w:r>
    </w:p>
    <w:p w:rsidR="00A83A68" w:rsidRPr="00E34069" w:rsidRDefault="00A83A68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各工種界面協調與整合辦理情形。</w:t>
      </w:r>
    </w:p>
    <w:p w:rsidR="00A83A68" w:rsidRPr="00E34069" w:rsidRDefault="00A83A68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變更設計審查情形。</w:t>
      </w:r>
    </w:p>
    <w:p w:rsidR="00A83A68" w:rsidRPr="00E34069" w:rsidRDefault="00A83A68" w:rsidP="00D1339C">
      <w:pPr>
        <w:pStyle w:val="a7"/>
        <w:tabs>
          <w:tab w:val="left" w:pos="851"/>
        </w:tabs>
        <w:spacing w:after="0" w:line="340" w:lineRule="exact"/>
        <w:ind w:leftChars="237" w:left="849" w:hangingChars="100" w:hanging="280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其他規劃設計要求事項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如：綠建築指標、節能減碳、金質獎申辦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等說明。</w:t>
      </w:r>
    </w:p>
    <w:p w:rsidR="00A83A68" w:rsidRPr="00E34069" w:rsidRDefault="00A83A68" w:rsidP="00D1339C">
      <w:pPr>
        <w:pStyle w:val="a9"/>
        <w:ind w:leftChars="237" w:hangingChars="72" w:hanging="202"/>
        <w:rPr>
          <w:color w:val="0D0D0D" w:themeColor="text1" w:themeTint="F2"/>
        </w:rPr>
      </w:pPr>
      <w:r w:rsidRPr="00E34069">
        <w:rPr>
          <w:color w:val="0D0D0D" w:themeColor="text1" w:themeTint="F2"/>
        </w:rPr>
        <w:t>5.</w:t>
      </w:r>
      <w:r w:rsidRPr="00E34069">
        <w:rPr>
          <w:rFonts w:hint="eastAsia"/>
          <w:color w:val="0D0D0D" w:themeColor="text1" w:themeTint="F2"/>
        </w:rPr>
        <w:t>查核或複查後缺失改善情形說明。</w:t>
      </w:r>
    </w:p>
    <w:p w:rsidR="00A83A68" w:rsidRPr="00E34069" w:rsidRDefault="00A83A68" w:rsidP="007A22BB">
      <w:pPr>
        <w:spacing w:beforeLines="100" w:before="240" w:line="240" w:lineRule="atLeast"/>
        <w:rPr>
          <w:rFonts w:ascii="標楷體" w:eastAsia="標楷體"/>
          <w:b/>
          <w:bCs/>
          <w:color w:val="0D0D0D" w:themeColor="text1" w:themeTint="F2"/>
          <w:sz w:val="32"/>
          <w:szCs w:val="32"/>
        </w:rPr>
      </w:pP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三、承攬廠商</w:t>
      </w:r>
      <w:r w:rsidRPr="00E34069">
        <w:rPr>
          <w:rFonts w:ascii="標楷體" w:eastAsia="標楷體"/>
          <w:b/>
          <w:bCs/>
          <w:color w:val="0D0D0D" w:themeColor="text1" w:themeTint="F2"/>
          <w:sz w:val="32"/>
          <w:szCs w:val="32"/>
        </w:rPr>
        <w:t>(15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分鐘</w:t>
      </w:r>
      <w:r w:rsidRPr="00E34069">
        <w:rPr>
          <w:rFonts w:ascii="標楷體" w:eastAsia="標楷體"/>
          <w:b/>
          <w:bCs/>
          <w:color w:val="0D0D0D" w:themeColor="text1" w:themeTint="F2"/>
          <w:sz w:val="32"/>
          <w:szCs w:val="32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32"/>
          <w:szCs w:val="32"/>
        </w:rPr>
        <w:t>：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一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工程要項及施工品管特色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含：主要工程經費分配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lastRenderedPageBreak/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二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品管組織及施工品管要項</w:t>
      </w:r>
    </w:p>
    <w:p w:rsidR="00A83A68" w:rsidRPr="00E34069" w:rsidRDefault="00A83A68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品管組織─組織架構與人員，人員職掌與權責分工重點說明。</w:t>
      </w:r>
    </w:p>
    <w:p w:rsidR="00A83A68" w:rsidRPr="00E34069" w:rsidRDefault="00A83A68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施工計畫及品管計畫─施工重點與特色，重要工項之施工要領，重要工項之品質管理標準，重要工項施工之檢驗時機與檢驗頻率，機電設備檢測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單機、系統、整體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程序與準則，預防矯正措施項目與流程，施工品質稽核範圍與頻率重點說明。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三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施工品質執行情形</w:t>
      </w:r>
    </w:p>
    <w:p w:rsidR="00A83A68" w:rsidRPr="00E34069" w:rsidRDefault="00A83A68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計畫書─各項計畫書及分項計畫書之管制總表核備查情形說明。</w:t>
      </w:r>
    </w:p>
    <w:p w:rsidR="00A83A68" w:rsidRPr="00E34069" w:rsidRDefault="00A83A68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材料設備品管─材料設備送審管制總表，材料設備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進場時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檢查之辦理情形，不合格品管制之辦理情形重點說明。</w:t>
      </w:r>
    </w:p>
    <w:p w:rsidR="00A83A68" w:rsidRPr="00E34069" w:rsidRDefault="00A83A68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施工品管─施工自主檢查執行情形，施工缺失改善執行情形，機電設備檢測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單機、系統、整體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執行情形，預防矯正措施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或矯正預防措施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執行情形，品質稽核相關作業情形，工程進度執行情形，施工日誌填寫，勞工安全衛生與工區安全管制執行情形，災害防救</w:t>
      </w:r>
      <w:r w:rsidRPr="00E34069">
        <w:rPr>
          <w:rFonts w:ascii="標楷體" w:eastAsia="標楷體"/>
          <w:color w:val="0D0D0D" w:themeColor="text1" w:themeTint="F2"/>
          <w:sz w:val="28"/>
        </w:rPr>
        <w:t>/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緊急應變計畫辦理情形，汛期工地防災減災計畫與自主檢查表重點說明。</w:t>
      </w:r>
    </w:p>
    <w:p w:rsidR="00A83A68" w:rsidRPr="00E34069" w:rsidRDefault="00A83A68" w:rsidP="007A22BB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四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專任工程人員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int="eastAsia"/>
          <w:color w:val="0D0D0D" w:themeColor="text1" w:themeTint="F2"/>
          <w:sz w:val="28"/>
        </w:rPr>
        <w:t>工程督察時機、頻率與次數，工程督察辦理情形紀錄（含現場照片），解決施工技術問題之事項與內容重點說明。</w:t>
      </w:r>
    </w:p>
    <w:p w:rsidR="00A83A68" w:rsidRPr="00E34069" w:rsidRDefault="00A83A68" w:rsidP="00E51749">
      <w:pPr>
        <w:pStyle w:val="a7"/>
        <w:spacing w:after="0" w:line="340" w:lineRule="exact"/>
        <w:ind w:firstLineChars="50" w:firstLine="140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五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>工程高風險施工項目安全檢驗點及檢查流程</w:t>
      </w:r>
      <w:r w:rsidRPr="00E34069">
        <w:rPr>
          <w:rFonts w:ascii="標楷體" w:eastAsia="標楷體" w:hAnsi="標楷體"/>
          <w:b/>
          <w:color w:val="0D0D0D" w:themeColor="text1" w:themeTint="F2"/>
          <w:sz w:val="28"/>
          <w:szCs w:val="28"/>
        </w:rPr>
        <w:t>/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>標準之</w:t>
      </w:r>
      <w:r w:rsidRPr="00E34069">
        <w:rPr>
          <w:rFonts w:ascii="標楷體" w:eastAsia="標楷體" w:hAnsi="標楷體"/>
          <w:b/>
          <w:color w:val="0D0D0D" w:themeColor="text1" w:themeTint="F2"/>
          <w:sz w:val="28"/>
          <w:szCs w:val="28"/>
        </w:rPr>
        <w:t>SOP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  <w:szCs w:val="28"/>
        </w:rPr>
        <w:t>。</w:t>
      </w:r>
    </w:p>
    <w:p w:rsidR="00A83A68" w:rsidRPr="00E34069" w:rsidRDefault="00A83A68" w:rsidP="00366561">
      <w:pPr>
        <w:spacing w:line="400" w:lineRule="exact"/>
        <w:ind w:leftChars="249" w:left="898" w:hangingChars="107" w:hanging="3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工地勞工安全衛生各項措施說明</w:t>
      </w:r>
      <w:r w:rsidRPr="00E34069">
        <w:rPr>
          <w:rFonts w:ascii="標楷體" w:eastAsia="標楷體"/>
          <w:color w:val="0D0D0D" w:themeColor="text1" w:themeTint="F2"/>
          <w:sz w:val="28"/>
        </w:rPr>
        <w:t>: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(1)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預防高空作業墜落說明。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(2)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預防施工架倒塌、基地開挖崩塌等處理說明。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(3)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預防感電處理說明。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(4)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預防工作場所災害說明。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(5)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預防被撞說明。</w:t>
      </w:r>
    </w:p>
    <w:p w:rsidR="00A83A68" w:rsidRPr="00E34069" w:rsidRDefault="00A83A68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(6)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預防物體飛落說明。</w:t>
      </w:r>
    </w:p>
    <w:p w:rsidR="00A83A68" w:rsidRPr="00E34069" w:rsidRDefault="00A83A68" w:rsidP="00835713">
      <w:pPr>
        <w:spacing w:line="400" w:lineRule="exact"/>
        <w:ind w:left="3152" w:hanging="2585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2.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工區交通維持及安全管制措施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說明</w:t>
      </w:r>
    </w:p>
    <w:p w:rsidR="00FE4B5D" w:rsidRPr="00E34069" w:rsidRDefault="00FE4B5D" w:rsidP="00FE4B5D">
      <w:pPr>
        <w:spacing w:line="400" w:lineRule="exact"/>
        <w:ind w:left="3152" w:hanging="2585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int="eastAsia"/>
          <w:color w:val="0D0D0D" w:themeColor="text1" w:themeTint="F2"/>
          <w:sz w:val="28"/>
        </w:rPr>
        <w:t xml:space="preserve"> </w:t>
      </w:r>
      <w:r w:rsidRPr="00E34069">
        <w:rPr>
          <w:rFonts w:ascii="標楷體" w:eastAsia="標楷體"/>
          <w:color w:val="0D0D0D" w:themeColor="text1" w:themeTint="F2"/>
          <w:sz w:val="28"/>
        </w:rPr>
        <w:t>(1)</w:t>
      </w:r>
      <w:r w:rsidRPr="00E34069">
        <w:rPr>
          <w:rFonts w:ascii="標楷體" w:eastAsia="標楷體" w:hint="eastAsia"/>
          <w:b/>
          <w:color w:val="0D0D0D" w:themeColor="text1" w:themeTint="F2"/>
          <w:sz w:val="28"/>
          <w:u w:val="single"/>
        </w:rPr>
        <w:t>工區危害告知相關情形及預防重點說明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。</w:t>
      </w:r>
    </w:p>
    <w:p w:rsidR="00A83A68" w:rsidRPr="00E34069" w:rsidRDefault="00A83A68" w:rsidP="00E51749">
      <w:pPr>
        <w:spacing w:line="400" w:lineRule="exact"/>
        <w:ind w:left="3152" w:hanging="2443"/>
        <w:jc w:val="both"/>
        <w:rPr>
          <w:rFonts w:ascii="標楷體" w:eastAsia="標楷體" w:hAnsi="標楷體"/>
          <w:bCs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="00FE4B5D" w:rsidRPr="00E34069">
        <w:rPr>
          <w:rFonts w:ascii="標楷體" w:eastAsia="標楷體" w:hint="eastAsia"/>
          <w:color w:val="0D0D0D" w:themeColor="text1" w:themeTint="F2"/>
          <w:sz w:val="28"/>
        </w:rPr>
        <w:t>2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Ansi="標楷體" w:hint="eastAsia"/>
          <w:bCs/>
          <w:color w:val="0D0D0D" w:themeColor="text1" w:themeTint="F2"/>
          <w:sz w:val="28"/>
          <w:szCs w:val="28"/>
        </w:rPr>
        <w:t>交通維持及安全管制措施基本內容、檢查紀錄。</w:t>
      </w:r>
    </w:p>
    <w:p w:rsidR="00A83A68" w:rsidRPr="00E34069" w:rsidRDefault="00A83A68" w:rsidP="00835713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(</w:t>
      </w:r>
      <w:r w:rsidR="00FE4B5D" w:rsidRPr="00E34069">
        <w:rPr>
          <w:rFonts w:ascii="標楷體" w:eastAsia="標楷體" w:hAnsi="標楷體" w:hint="eastAsia"/>
          <w:bCs/>
          <w:color w:val="0D0D0D" w:themeColor="text1" w:themeTint="F2"/>
          <w:sz w:val="28"/>
          <w:szCs w:val="28"/>
        </w:rPr>
        <w:t>3</w:t>
      </w: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施工機具、材料及棄土車輛停放規劃、工區車輛進出口影響道路交通或交通引導人員規劃，工區周邊道路路面平整性說明。</w:t>
      </w:r>
    </w:p>
    <w:p w:rsidR="00A83A68" w:rsidRPr="00E34069" w:rsidRDefault="00A83A68" w:rsidP="0036115C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</w:t>
      </w:r>
      <w:r w:rsidR="00FE4B5D"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4</w:t>
      </w: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工區圍籬尺寸、型式、安全設施及設置時機等說明。</w:t>
      </w:r>
    </w:p>
    <w:p w:rsidR="00A83A68" w:rsidRPr="00E34069" w:rsidRDefault="00A83A68" w:rsidP="0036115C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</w:t>
      </w:r>
      <w:r w:rsidR="00FE4B5D"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5</w:t>
      </w: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工區周邊標線、標誌、號誌</w:t>
      </w: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</w:t>
      </w:r>
      <w:r w:rsidRPr="00E34069">
        <w:rPr>
          <w:rFonts w:ascii="標楷體" w:eastAsia="標楷體" w:hAnsi="標楷體" w:hint="eastAsia"/>
          <w:bCs/>
          <w:color w:val="0D0D0D" w:themeColor="text1" w:themeTint="F2"/>
          <w:sz w:val="28"/>
          <w:szCs w:val="28"/>
        </w:rPr>
        <w:t>行人動線安全防護措施、導引牌面</w:t>
      </w: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含設置說明。</w:t>
      </w:r>
    </w:p>
    <w:p w:rsidR="00A83A68" w:rsidRPr="00E34069" w:rsidRDefault="00A83A68" w:rsidP="0036115C">
      <w:pPr>
        <w:spacing w:line="400" w:lineRule="exact"/>
        <w:ind w:left="1134" w:hanging="567"/>
        <w:jc w:val="both"/>
        <w:rPr>
          <w:rFonts w:ascii="標楷體" w:eastAsia="標楷體" w:hAnsi="標楷體"/>
          <w:bCs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lastRenderedPageBreak/>
        <w:t>3.</w:t>
      </w:r>
      <w:r w:rsidRPr="00E34069">
        <w:rPr>
          <w:rFonts w:ascii="標楷體" w:eastAsia="標楷體" w:hAnsi="標楷體" w:hint="eastAsia"/>
          <w:bCs/>
          <w:color w:val="0D0D0D" w:themeColor="text1" w:themeTint="F2"/>
          <w:sz w:val="28"/>
          <w:szCs w:val="28"/>
        </w:rPr>
        <w:t>汛期工地防災減災措施</w:t>
      </w:r>
    </w:p>
    <w:p w:rsidR="00A83A68" w:rsidRPr="00E34069" w:rsidRDefault="00A83A68" w:rsidP="0036115C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bCs/>
          <w:color w:val="0D0D0D" w:themeColor="text1" w:themeTint="F2"/>
          <w:sz w:val="28"/>
          <w:szCs w:val="28"/>
        </w:rPr>
        <w:t>(1)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汛期工地防災自主檢查表填列情形說明。</w:t>
      </w:r>
    </w:p>
    <w:p w:rsidR="00A83A68" w:rsidRPr="00E34069" w:rsidRDefault="00A83A68" w:rsidP="0036115C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(2)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工區及週遭之排水設施清理情形說明。</w:t>
      </w:r>
    </w:p>
    <w:p w:rsidR="00A83A68" w:rsidRPr="00E34069" w:rsidRDefault="00A83A68" w:rsidP="0036115C">
      <w:pPr>
        <w:spacing w:line="400" w:lineRule="exact"/>
        <w:ind w:left="1134" w:hanging="425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E34069">
        <w:rPr>
          <w:rFonts w:ascii="標楷體" w:eastAsia="標楷體" w:hAnsi="標楷體"/>
          <w:color w:val="0D0D0D" w:themeColor="text1" w:themeTint="F2"/>
          <w:sz w:val="28"/>
          <w:szCs w:val="28"/>
        </w:rPr>
        <w:t>(3)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防汛缺口封堵，或砂包、擋水鋼板、封水牆等臨時性防洪設施設置情形說明。</w:t>
      </w:r>
    </w:p>
    <w:p w:rsidR="00A83A68" w:rsidRPr="00E34069" w:rsidRDefault="00A83A68" w:rsidP="007A22BB">
      <w:pPr>
        <w:spacing w:beforeLines="30" w:before="72" w:line="240" w:lineRule="atLeast"/>
        <w:ind w:firstLineChars="50" w:firstLine="140"/>
        <w:rPr>
          <w:rFonts w:ascii="標楷體" w:eastAsia="標楷體"/>
          <w:b/>
          <w:bCs/>
          <w:color w:val="0D0D0D" w:themeColor="text1" w:themeTint="F2"/>
          <w:sz w:val="28"/>
        </w:rPr>
      </w:pP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六</w:t>
      </w:r>
      <w:r w:rsidRPr="00E34069">
        <w:rPr>
          <w:rFonts w:ascii="標楷體" w:eastAsia="標楷體"/>
          <w:b/>
          <w:bCs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b/>
          <w:bCs/>
          <w:color w:val="0D0D0D" w:themeColor="text1" w:themeTint="F2"/>
          <w:sz w:val="28"/>
        </w:rPr>
        <w:t>其他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1.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工程施工是否遭遇困難。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2.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各工項界面協調與整合執行情形。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3.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變更設計辦理情形。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4.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公安事故處理情形及分析檢討。</w:t>
      </w:r>
    </w:p>
    <w:p w:rsidR="00A83A68" w:rsidRPr="00E34069" w:rsidRDefault="00A83A68" w:rsidP="00A42D28">
      <w:pPr>
        <w:spacing w:line="240" w:lineRule="atLeast"/>
        <w:ind w:leftChars="250" w:left="600"/>
        <w:jc w:val="both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/>
          <w:color w:val="0D0D0D" w:themeColor="text1" w:themeTint="F2"/>
          <w:sz w:val="28"/>
        </w:rPr>
        <w:t>5.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其他品質執行事項</w:t>
      </w:r>
      <w:r w:rsidRPr="00E34069">
        <w:rPr>
          <w:rFonts w:ascii="標楷體" w:eastAsia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如：綠建築指標、節能減碳、金質獎申辦</w:t>
      </w:r>
      <w:r w:rsidRPr="00E34069">
        <w:rPr>
          <w:rFonts w:ascii="標楷體" w:eastAsia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int="eastAsia"/>
          <w:color w:val="0D0D0D" w:themeColor="text1" w:themeTint="F2"/>
          <w:sz w:val="28"/>
        </w:rPr>
        <w:t>等說明。</w:t>
      </w:r>
    </w:p>
    <w:p w:rsidR="00A83A68" w:rsidRPr="00E34069" w:rsidRDefault="00A83A68" w:rsidP="0024513F">
      <w:pPr>
        <w:pStyle w:val="a9"/>
        <w:rPr>
          <w:color w:val="0D0D0D" w:themeColor="text1" w:themeTint="F2"/>
        </w:rPr>
      </w:pPr>
      <w:r w:rsidRPr="00E34069">
        <w:rPr>
          <w:color w:val="0D0D0D" w:themeColor="text1" w:themeTint="F2"/>
        </w:rPr>
        <w:t>6.</w:t>
      </w:r>
      <w:r w:rsidRPr="00E34069">
        <w:rPr>
          <w:rFonts w:hint="eastAsia"/>
          <w:color w:val="0D0D0D" w:themeColor="text1" w:themeTint="F2"/>
        </w:rPr>
        <w:t>查核或複查後缺失改善情形說明。</w:t>
      </w:r>
    </w:p>
    <w:p w:rsidR="00FE4B5D" w:rsidRPr="00E34069" w:rsidRDefault="00FE4B5D" w:rsidP="007A22BB">
      <w:pPr>
        <w:spacing w:beforeLines="50" w:before="120" w:line="240" w:lineRule="atLeast"/>
        <w:jc w:val="center"/>
        <w:rPr>
          <w:rFonts w:ascii="標楷體" w:eastAsia="標楷體" w:hAnsi="Wingdings" w:hint="eastAsia"/>
          <w:color w:val="0D0D0D" w:themeColor="text1" w:themeTint="F2"/>
          <w:sz w:val="28"/>
          <w:szCs w:val="28"/>
        </w:rPr>
      </w:pPr>
    </w:p>
    <w:p w:rsidR="00A83A68" w:rsidRPr="00E34069" w:rsidRDefault="00A83A68" w:rsidP="007A22BB">
      <w:pPr>
        <w:spacing w:beforeLines="50" w:before="120" w:line="240" w:lineRule="atLeast"/>
        <w:jc w:val="center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</w:p>
    <w:p w:rsidR="00A83A68" w:rsidRPr="00E34069" w:rsidRDefault="00A83A68" w:rsidP="00A42D28">
      <w:pPr>
        <w:spacing w:line="240" w:lineRule="atLeast"/>
        <w:rPr>
          <w:rFonts w:ascii="標楷體" w:eastAsia="標楷體"/>
          <w:color w:val="0D0D0D" w:themeColor="text1" w:themeTint="F2"/>
          <w:sz w:val="28"/>
        </w:rPr>
      </w:pPr>
    </w:p>
    <w:p w:rsidR="00A83A68" w:rsidRPr="00E34069" w:rsidRDefault="00A83A68" w:rsidP="007A22BB">
      <w:pPr>
        <w:autoSpaceDE w:val="0"/>
        <w:autoSpaceDN w:val="0"/>
        <w:adjustRightInd w:val="0"/>
        <w:spacing w:beforeLines="20" w:before="48" w:line="240" w:lineRule="atLeast"/>
        <w:ind w:left="566" w:hangingChars="202" w:hanging="566"/>
        <w:rPr>
          <w:rFonts w:ascii="標楷體" w:eastAsia="標楷體" w:cs="標楷體"/>
          <w:bCs/>
          <w:color w:val="0D0D0D" w:themeColor="text1" w:themeTint="F2"/>
          <w:kern w:val="0"/>
          <w:sz w:val="28"/>
          <w:szCs w:val="28"/>
        </w:rPr>
      </w:pPr>
      <w:r w:rsidRPr="00E34069">
        <w:rPr>
          <w:rFonts w:ascii="標楷體" w:eastAsia="標楷體" w:cs="標楷體" w:hint="eastAsia"/>
          <w:b/>
          <w:color w:val="0D0D0D" w:themeColor="text1" w:themeTint="F2"/>
          <w:kern w:val="0"/>
          <w:sz w:val="28"/>
          <w:szCs w:val="28"/>
        </w:rPr>
        <w:t>註</w:t>
      </w:r>
      <w:r w:rsidRPr="00E34069">
        <w:rPr>
          <w:rFonts w:ascii="標楷體" w:eastAsia="標楷體" w:cs="標楷體"/>
          <w:b/>
          <w:color w:val="0D0D0D" w:themeColor="text1" w:themeTint="F2"/>
          <w:kern w:val="0"/>
          <w:sz w:val="28"/>
          <w:szCs w:val="28"/>
        </w:rPr>
        <w:t>1.</w:t>
      </w:r>
      <w:r w:rsidRPr="00E34069">
        <w:rPr>
          <w:rFonts w:ascii="標楷體" w:eastAsia="標楷體" w:cs="標楷體" w:hint="eastAsia"/>
          <w:bCs/>
          <w:color w:val="0D0D0D" w:themeColor="text1" w:themeTint="F2"/>
          <w:kern w:val="0"/>
          <w:sz w:val="28"/>
          <w:szCs w:val="28"/>
        </w:rPr>
        <w:t>本查核會議簡報要項，係以查核金額以上之大型工程為對象。</w:t>
      </w:r>
    </w:p>
    <w:p w:rsidR="00A83A68" w:rsidRPr="00E34069" w:rsidRDefault="00A83A68" w:rsidP="007A22BB">
      <w:pPr>
        <w:autoSpaceDE w:val="0"/>
        <w:autoSpaceDN w:val="0"/>
        <w:adjustRightInd w:val="0"/>
        <w:spacing w:beforeLines="20" w:before="48" w:line="240" w:lineRule="atLeast"/>
        <w:ind w:left="569" w:hangingChars="203" w:hanging="569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cs="標楷體" w:hint="eastAsia"/>
          <w:b/>
          <w:color w:val="0D0D0D" w:themeColor="text1" w:themeTint="F2"/>
          <w:kern w:val="0"/>
          <w:sz w:val="28"/>
          <w:szCs w:val="28"/>
        </w:rPr>
        <w:t>註</w:t>
      </w:r>
      <w:r w:rsidRPr="00E34069">
        <w:rPr>
          <w:rFonts w:ascii="標楷體" w:eastAsia="標楷體" w:cs="標楷體"/>
          <w:b/>
          <w:color w:val="0D0D0D" w:themeColor="text1" w:themeTint="F2"/>
          <w:kern w:val="0"/>
          <w:sz w:val="28"/>
          <w:szCs w:val="28"/>
        </w:rPr>
        <w:t>2.</w:t>
      </w:r>
      <w:r w:rsidRPr="00E34069">
        <w:rPr>
          <w:rFonts w:ascii="標楷體" w:eastAsia="標楷體" w:cs="標楷體" w:hint="eastAsia"/>
          <w:bCs/>
          <w:color w:val="0D0D0D" w:themeColor="text1" w:themeTint="F2"/>
          <w:kern w:val="0"/>
          <w:sz w:val="28"/>
          <w:szCs w:val="28"/>
        </w:rPr>
        <w:t>本查核會議簡報要項，係以一般土建工程工程為對象，其他工程得依其特性與需求，另行酌予增刪減。</w:t>
      </w:r>
    </w:p>
    <w:p w:rsidR="00A83A68" w:rsidRPr="00E34069" w:rsidRDefault="00A83A68" w:rsidP="00A42D28">
      <w:p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</w:p>
    <w:p w:rsidR="00A83A68" w:rsidRPr="00E34069" w:rsidRDefault="00A83A68" w:rsidP="007A22BB">
      <w:pPr>
        <w:spacing w:beforeLines="50" w:before="120" w:line="240" w:lineRule="atLeast"/>
        <w:jc w:val="center"/>
        <w:rPr>
          <w:rFonts w:ascii="標楷體" w:eastAsia="標楷體"/>
          <w:color w:val="0D0D0D" w:themeColor="text1" w:themeTint="F2"/>
          <w:sz w:val="28"/>
        </w:rPr>
      </w:pP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A"/>
      </w:r>
      <w:r w:rsidRPr="00E34069">
        <w:rPr>
          <w:rFonts w:ascii="標楷體" w:eastAsia="標楷體" w:hAnsi="Wingdings" w:hint="eastAsia"/>
          <w:color w:val="0D0D0D" w:themeColor="text1" w:themeTint="F2"/>
          <w:sz w:val="28"/>
          <w:szCs w:val="28"/>
        </w:rPr>
        <w:sym w:font="Wingdings" w:char="F09B"/>
      </w:r>
    </w:p>
    <w:p w:rsidR="00A83A68" w:rsidRPr="00E34069" w:rsidRDefault="00A83A68" w:rsidP="00A42D28">
      <w:p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</w:p>
    <w:p w:rsidR="00A83A68" w:rsidRPr="00E34069" w:rsidRDefault="00A83A68" w:rsidP="00A42D28">
      <w:pPr>
        <w:spacing w:line="400" w:lineRule="exact"/>
        <w:jc w:val="center"/>
        <w:rPr>
          <w:rFonts w:ascii="標楷體" w:eastAsia="標楷體" w:hAnsi="標楷體"/>
          <w:b/>
          <w:bCs/>
          <w:color w:val="0D0D0D" w:themeColor="text1" w:themeTint="F2"/>
          <w:sz w:val="32"/>
        </w:rPr>
      </w:pPr>
      <w:r w:rsidRPr="00E34069">
        <w:rPr>
          <w:rFonts w:ascii="標楷體" w:eastAsia="標楷體" w:hAnsi="標楷體"/>
          <w:b/>
          <w:bCs/>
          <w:color w:val="0D0D0D" w:themeColor="text1" w:themeTint="F2"/>
          <w:sz w:val="32"/>
        </w:rPr>
        <w:t>**</w:t>
      </w:r>
      <w:r w:rsidRPr="00E34069">
        <w:rPr>
          <w:rFonts w:ascii="標楷體" w:eastAsia="標楷體" w:hAnsi="標楷體" w:hint="eastAsia"/>
          <w:b/>
          <w:bCs/>
          <w:color w:val="0D0D0D" w:themeColor="text1" w:themeTint="F2"/>
          <w:sz w:val="32"/>
        </w:rPr>
        <w:t>請備妥下列查驗工具及書面資料供查核：</w:t>
      </w:r>
    </w:p>
    <w:p w:rsidR="00A83A68" w:rsidRPr="00E34069" w:rsidRDefault="00A83A68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工程契約書、圖說及上級工程主管機關查核改善紀錄。</w:t>
      </w:r>
    </w:p>
    <w:p w:rsidR="00A83A68" w:rsidRPr="00E34069" w:rsidRDefault="00A83A68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工程主辦機關之品質督導機制、施工品質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</w:rPr>
        <w:t>抽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驗紀錄、缺失改善追蹤、施工進度管理措</w:t>
      </w:r>
      <w:r w:rsidRPr="00E34069">
        <w:rPr>
          <w:rFonts w:ascii="標楷體" w:eastAsia="標楷體" w:hAnsi="標楷體"/>
          <w:color w:val="0D0D0D" w:themeColor="text1" w:themeTint="F2"/>
          <w:sz w:val="28"/>
        </w:rPr>
        <w:t xml:space="preserve">   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施及障礙之處理等相關文件。</w:t>
      </w:r>
    </w:p>
    <w:p w:rsidR="00A83A68" w:rsidRPr="00E34069" w:rsidRDefault="00A83A68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監造單位之監造組織、監造計畫、施工及品質計畫之審查紀錄、材料設備抽驗及施工品質查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</w:rPr>
        <w:t>驗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紀錄、品質不符之處置及施工進度監督之執行情形、監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</w:rPr>
        <w:t>造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報表等相關文件。</w:t>
      </w:r>
    </w:p>
    <w:p w:rsidR="00A83A68" w:rsidRPr="00E34069" w:rsidRDefault="00A83A68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廠商之品管組織、品質計畫、施工進度管理</w:t>
      </w:r>
      <w:r w:rsidRPr="00E34069">
        <w:rPr>
          <w:rFonts w:ascii="標楷體" w:eastAsia="標楷體" w:hAnsi="標楷體"/>
          <w:color w:val="0D0D0D" w:themeColor="text1" w:themeTint="F2"/>
          <w:sz w:val="28"/>
        </w:rPr>
        <w:t>(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落後應含趕工計畫</w:t>
      </w:r>
      <w:r w:rsidRPr="00E34069">
        <w:rPr>
          <w:rFonts w:ascii="標楷體" w:eastAsia="標楷體" w:hAnsi="標楷體"/>
          <w:color w:val="0D0D0D" w:themeColor="text1" w:themeTint="F2"/>
          <w:sz w:val="28"/>
        </w:rPr>
        <w:t>)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、安全衛生及環境保護措施之執行情形、施工日</w:t>
      </w:r>
      <w:r w:rsidRPr="00E34069">
        <w:rPr>
          <w:rFonts w:ascii="標楷體" w:eastAsia="標楷體" w:hAnsi="標楷體" w:hint="eastAsia"/>
          <w:b/>
          <w:color w:val="0D0D0D" w:themeColor="text1" w:themeTint="F2"/>
          <w:sz w:val="28"/>
        </w:rPr>
        <w:t>誌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等相關文件。</w:t>
      </w:r>
    </w:p>
    <w:p w:rsidR="00A83A68" w:rsidRPr="00E34069" w:rsidRDefault="00A83A68" w:rsidP="001C3181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color w:val="0D0D0D" w:themeColor="text1" w:themeTint="F2"/>
          <w:sz w:val="28"/>
        </w:rPr>
      </w:pP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鑽心機、皮尺、推尺、</w:t>
      </w:r>
      <w:r w:rsidRPr="00E34069">
        <w:rPr>
          <w:rFonts w:ascii="標楷體" w:eastAsia="標楷體" w:hAnsi="標楷體" w:hint="eastAsia"/>
          <w:bCs/>
          <w:color w:val="0D0D0D" w:themeColor="text1" w:themeTint="F2"/>
          <w:sz w:val="28"/>
        </w:rPr>
        <w:t>照明器材、游標卡尺、三用電表、鋁梯</w:t>
      </w:r>
      <w:r w:rsidRPr="00E34069">
        <w:rPr>
          <w:rFonts w:ascii="標楷體" w:eastAsia="標楷體" w:hAnsi="標楷體" w:hint="eastAsia"/>
          <w:color w:val="0D0D0D" w:themeColor="text1" w:themeTint="F2"/>
          <w:sz w:val="28"/>
        </w:rPr>
        <w:t>。</w:t>
      </w:r>
      <w:r w:rsidRPr="00E34069">
        <w:rPr>
          <w:rFonts w:ascii="標楷體" w:eastAsia="標楷體" w:hAnsi="標楷體"/>
          <w:color w:val="0D0D0D" w:themeColor="text1" w:themeTint="F2"/>
          <w:sz w:val="28"/>
        </w:rPr>
        <w:t xml:space="preserve">  </w:t>
      </w:r>
    </w:p>
    <w:bookmarkEnd w:id="0"/>
    <w:p w:rsidR="00A83A68" w:rsidRPr="00E34069" w:rsidRDefault="00A83A68">
      <w:pPr>
        <w:rPr>
          <w:color w:val="0D0D0D" w:themeColor="text1" w:themeTint="F2"/>
        </w:rPr>
      </w:pPr>
    </w:p>
    <w:sectPr w:rsidR="00A83A68" w:rsidRPr="00E34069" w:rsidSect="001E7140">
      <w:footerReference w:type="default" r:id="rId7"/>
      <w:pgSz w:w="11906" w:h="16838"/>
      <w:pgMar w:top="1135" w:right="1134" w:bottom="567" w:left="1134" w:header="567" w:footer="365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18" w:rsidRDefault="002D5818" w:rsidP="0063403D">
      <w:r>
        <w:separator/>
      </w:r>
    </w:p>
  </w:endnote>
  <w:endnote w:type="continuationSeparator" w:id="0">
    <w:p w:rsidR="002D5818" w:rsidRDefault="002D5818" w:rsidP="0063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68" w:rsidRDefault="009D52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34069" w:rsidRPr="00E34069">
      <w:rPr>
        <w:noProof/>
        <w:lang w:val="zh-TW"/>
      </w:rPr>
      <w:t>3</w:t>
    </w:r>
    <w:r>
      <w:rPr>
        <w:noProof/>
        <w:lang w:val="zh-TW"/>
      </w:rPr>
      <w:fldChar w:fldCharType="end"/>
    </w:r>
  </w:p>
  <w:p w:rsidR="00A83A68" w:rsidRDefault="00A83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18" w:rsidRDefault="002D5818" w:rsidP="0063403D">
      <w:r>
        <w:separator/>
      </w:r>
    </w:p>
  </w:footnote>
  <w:footnote w:type="continuationSeparator" w:id="0">
    <w:p w:rsidR="002D5818" w:rsidRDefault="002D5818" w:rsidP="00634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6E91EA"/>
    <w:lvl w:ilvl="0">
      <w:start w:val="1"/>
      <w:numFmt w:val="decimal"/>
      <w:lvlText w:val="%1."/>
      <w:lvlJc w:val="left"/>
      <w:pPr>
        <w:tabs>
          <w:tab w:val="num" w:pos="2281"/>
        </w:tabs>
        <w:ind w:left="228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57091A8"/>
    <w:lvl w:ilvl="0">
      <w:start w:val="1"/>
      <w:numFmt w:val="decimal"/>
      <w:lvlText w:val="%1."/>
      <w:lvlJc w:val="left"/>
      <w:pPr>
        <w:tabs>
          <w:tab w:val="num" w:pos="1801"/>
        </w:tabs>
        <w:ind w:left="1801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96CB3A4"/>
    <w:lvl w:ilvl="0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28EF536"/>
    <w:lvl w:ilvl="0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4529B74"/>
    <w:lvl w:ilvl="0">
      <w:start w:val="1"/>
      <w:numFmt w:val="bullet"/>
      <w:lvlText w:val="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EFAACAC"/>
    <w:lvl w:ilvl="0">
      <w:start w:val="1"/>
      <w:numFmt w:val="bullet"/>
      <w:lvlText w:val="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CFE64CA"/>
    <w:lvl w:ilvl="0">
      <w:start w:val="1"/>
      <w:numFmt w:val="bullet"/>
      <w:lvlText w:val=""/>
      <w:lvlJc w:val="left"/>
      <w:pPr>
        <w:tabs>
          <w:tab w:val="num" w:pos="1321"/>
        </w:tabs>
        <w:ind w:left="132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BC259D6"/>
    <w:lvl w:ilvl="0">
      <w:start w:val="1"/>
      <w:numFmt w:val="bullet"/>
      <w:lvlText w:val=""/>
      <w:lvlJc w:val="left"/>
      <w:pPr>
        <w:tabs>
          <w:tab w:val="num" w:pos="841"/>
        </w:tabs>
        <w:ind w:left="841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9DA7056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4081C3A"/>
    <w:lvl w:ilvl="0">
      <w:start w:val="1"/>
      <w:numFmt w:val="bullet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37540E5"/>
    <w:multiLevelType w:val="hybridMultilevel"/>
    <w:tmpl w:val="A8402438"/>
    <w:lvl w:ilvl="0" w:tplc="0409000F">
      <w:start w:val="1"/>
      <w:numFmt w:val="decimal"/>
      <w:lvlText w:val="%1."/>
      <w:lvlJc w:val="left"/>
      <w:pPr>
        <w:tabs>
          <w:tab w:val="num" w:pos="756"/>
        </w:tabs>
        <w:ind w:left="75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6"/>
        </w:tabs>
        <w:ind w:left="123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6"/>
        </w:tabs>
        <w:ind w:left="171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6"/>
        </w:tabs>
        <w:ind w:left="219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6"/>
        </w:tabs>
        <w:ind w:left="267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6"/>
        </w:tabs>
        <w:ind w:left="411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6"/>
        </w:tabs>
        <w:ind w:left="4596" w:hanging="480"/>
      </w:pPr>
      <w:rPr>
        <w:rFonts w:cs="Times New Roman"/>
      </w:rPr>
    </w:lvl>
  </w:abstractNum>
  <w:abstractNum w:abstractNumId="11" w15:restartNumberingAfterBreak="0">
    <w:nsid w:val="06F6401D"/>
    <w:multiLevelType w:val="hybridMultilevel"/>
    <w:tmpl w:val="BFB4D776"/>
    <w:lvl w:ilvl="0" w:tplc="0409000F">
      <w:start w:val="1"/>
      <w:numFmt w:val="decimal"/>
      <w:lvlText w:val="%1."/>
      <w:lvlJc w:val="left"/>
      <w:pPr>
        <w:tabs>
          <w:tab w:val="num" w:pos="758"/>
        </w:tabs>
        <w:ind w:left="75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8"/>
        </w:tabs>
        <w:ind w:left="123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8"/>
        </w:tabs>
        <w:ind w:left="219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8"/>
        </w:tabs>
        <w:ind w:left="267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8"/>
        </w:tabs>
        <w:ind w:left="363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8"/>
        </w:tabs>
        <w:ind w:left="411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8"/>
        </w:tabs>
        <w:ind w:left="4598" w:hanging="480"/>
      </w:pPr>
      <w:rPr>
        <w:rFonts w:cs="Times New Roman"/>
      </w:rPr>
    </w:lvl>
  </w:abstractNum>
  <w:abstractNum w:abstractNumId="12" w15:restartNumberingAfterBreak="0">
    <w:nsid w:val="0D68093A"/>
    <w:multiLevelType w:val="hybridMultilevel"/>
    <w:tmpl w:val="58C05886"/>
    <w:lvl w:ilvl="0" w:tplc="D08E9282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457145F5"/>
    <w:multiLevelType w:val="hybridMultilevel"/>
    <w:tmpl w:val="2B42DB0C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  <w:rPr>
        <w:rFonts w:cs="Times New Roman"/>
      </w:rPr>
    </w:lvl>
  </w:abstractNum>
  <w:abstractNum w:abstractNumId="14" w15:restartNumberingAfterBreak="0">
    <w:nsid w:val="4FB87A94"/>
    <w:multiLevelType w:val="hybridMultilevel"/>
    <w:tmpl w:val="A2AE9F3E"/>
    <w:lvl w:ilvl="0" w:tplc="0409000F">
      <w:start w:val="1"/>
      <w:numFmt w:val="decimal"/>
      <w:lvlText w:val="%1."/>
      <w:lvlJc w:val="left"/>
      <w:pPr>
        <w:tabs>
          <w:tab w:val="num" w:pos="756"/>
        </w:tabs>
        <w:ind w:left="75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6"/>
        </w:tabs>
        <w:ind w:left="123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6"/>
        </w:tabs>
        <w:ind w:left="171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6"/>
        </w:tabs>
        <w:ind w:left="219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6"/>
        </w:tabs>
        <w:ind w:left="267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6"/>
        </w:tabs>
        <w:ind w:left="411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6"/>
        </w:tabs>
        <w:ind w:left="4596" w:hanging="480"/>
      </w:pPr>
      <w:rPr>
        <w:rFonts w:cs="Times New Roman"/>
      </w:rPr>
    </w:lvl>
  </w:abstractNum>
  <w:abstractNum w:abstractNumId="15" w15:restartNumberingAfterBreak="0">
    <w:nsid w:val="5ED84FCC"/>
    <w:multiLevelType w:val="hybridMultilevel"/>
    <w:tmpl w:val="0E38D96E"/>
    <w:lvl w:ilvl="0" w:tplc="0409000F">
      <w:start w:val="1"/>
      <w:numFmt w:val="decimal"/>
      <w:lvlText w:val="%1."/>
      <w:lvlJc w:val="left"/>
      <w:pPr>
        <w:tabs>
          <w:tab w:val="num" w:pos="758"/>
        </w:tabs>
        <w:ind w:left="75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8"/>
        </w:tabs>
        <w:ind w:left="123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8"/>
        </w:tabs>
        <w:ind w:left="219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8"/>
        </w:tabs>
        <w:ind w:left="267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8"/>
        </w:tabs>
        <w:ind w:left="363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8"/>
        </w:tabs>
        <w:ind w:left="411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8"/>
        </w:tabs>
        <w:ind w:left="4598" w:hanging="480"/>
      </w:pPr>
      <w:rPr>
        <w:rFonts w:cs="Times New Roman"/>
      </w:rPr>
    </w:lvl>
  </w:abstractNum>
  <w:abstractNum w:abstractNumId="16" w15:restartNumberingAfterBreak="0">
    <w:nsid w:val="6DA6439B"/>
    <w:multiLevelType w:val="hybridMultilevel"/>
    <w:tmpl w:val="FBD005F4"/>
    <w:lvl w:ilvl="0" w:tplc="A0987828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F8F01E8"/>
    <w:multiLevelType w:val="hybridMultilevel"/>
    <w:tmpl w:val="BCDAA1F2"/>
    <w:lvl w:ilvl="0" w:tplc="04090001">
      <w:start w:val="1"/>
      <w:numFmt w:val="bullet"/>
      <w:lvlText w:val="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40"/>
        </w:tabs>
        <w:ind w:left="47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20"/>
        </w:tabs>
        <w:ind w:left="52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00"/>
        </w:tabs>
        <w:ind w:left="5700" w:hanging="480"/>
      </w:pPr>
      <w:rPr>
        <w:rFonts w:ascii="Wingdings" w:hAnsi="Wingdings" w:hint="default"/>
      </w:rPr>
    </w:lvl>
  </w:abstractNum>
  <w:abstractNum w:abstractNumId="18" w15:restartNumberingAfterBreak="0">
    <w:nsid w:val="70054B10"/>
    <w:multiLevelType w:val="hybridMultilevel"/>
    <w:tmpl w:val="D2E4ECE6"/>
    <w:lvl w:ilvl="0" w:tplc="1074A77C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72155E46"/>
    <w:multiLevelType w:val="hybridMultilevel"/>
    <w:tmpl w:val="D7CC3968"/>
    <w:lvl w:ilvl="0" w:tplc="22B005A8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5"/>
  </w:num>
  <w:num w:numId="5">
    <w:abstractNumId w:val="10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28"/>
    <w:rsid w:val="000416C7"/>
    <w:rsid w:val="00056B63"/>
    <w:rsid w:val="0009211B"/>
    <w:rsid w:val="00092E32"/>
    <w:rsid w:val="000F01D3"/>
    <w:rsid w:val="000F146F"/>
    <w:rsid w:val="00103AC4"/>
    <w:rsid w:val="0012628E"/>
    <w:rsid w:val="001A7AB1"/>
    <w:rsid w:val="001C3181"/>
    <w:rsid w:val="001C3B34"/>
    <w:rsid w:val="001D1973"/>
    <w:rsid w:val="001E7140"/>
    <w:rsid w:val="00212CA5"/>
    <w:rsid w:val="002334C6"/>
    <w:rsid w:val="0024513F"/>
    <w:rsid w:val="002D5818"/>
    <w:rsid w:val="00326132"/>
    <w:rsid w:val="0035568B"/>
    <w:rsid w:val="00360314"/>
    <w:rsid w:val="0036115C"/>
    <w:rsid w:val="00361B08"/>
    <w:rsid w:val="003636AC"/>
    <w:rsid w:val="00366561"/>
    <w:rsid w:val="0037109D"/>
    <w:rsid w:val="003725E1"/>
    <w:rsid w:val="00386F8B"/>
    <w:rsid w:val="00396B87"/>
    <w:rsid w:val="003D6A57"/>
    <w:rsid w:val="004261AB"/>
    <w:rsid w:val="00443557"/>
    <w:rsid w:val="004A37E3"/>
    <w:rsid w:val="004C4CBE"/>
    <w:rsid w:val="0052268D"/>
    <w:rsid w:val="00523BD8"/>
    <w:rsid w:val="00564F05"/>
    <w:rsid w:val="006078FE"/>
    <w:rsid w:val="0061672E"/>
    <w:rsid w:val="00622853"/>
    <w:rsid w:val="0063403D"/>
    <w:rsid w:val="00635D21"/>
    <w:rsid w:val="0064389C"/>
    <w:rsid w:val="0065684E"/>
    <w:rsid w:val="00657D4D"/>
    <w:rsid w:val="006B3772"/>
    <w:rsid w:val="00794A6B"/>
    <w:rsid w:val="007A22BB"/>
    <w:rsid w:val="007D0AA1"/>
    <w:rsid w:val="00835521"/>
    <w:rsid w:val="00835713"/>
    <w:rsid w:val="00852F06"/>
    <w:rsid w:val="008621F3"/>
    <w:rsid w:val="008C46BB"/>
    <w:rsid w:val="00931165"/>
    <w:rsid w:val="00947BE2"/>
    <w:rsid w:val="009544FF"/>
    <w:rsid w:val="00964533"/>
    <w:rsid w:val="009722C7"/>
    <w:rsid w:val="009A11B5"/>
    <w:rsid w:val="009D5201"/>
    <w:rsid w:val="00A0740D"/>
    <w:rsid w:val="00A42D28"/>
    <w:rsid w:val="00A83A68"/>
    <w:rsid w:val="00AA40D7"/>
    <w:rsid w:val="00AB470F"/>
    <w:rsid w:val="00B03C5C"/>
    <w:rsid w:val="00B06469"/>
    <w:rsid w:val="00B40362"/>
    <w:rsid w:val="00B51483"/>
    <w:rsid w:val="00BF1CD8"/>
    <w:rsid w:val="00C36E2C"/>
    <w:rsid w:val="00CB0AF5"/>
    <w:rsid w:val="00CC13AC"/>
    <w:rsid w:val="00D1339C"/>
    <w:rsid w:val="00D224C9"/>
    <w:rsid w:val="00D334DF"/>
    <w:rsid w:val="00D42FA1"/>
    <w:rsid w:val="00D631D2"/>
    <w:rsid w:val="00D74514"/>
    <w:rsid w:val="00D81E75"/>
    <w:rsid w:val="00D87456"/>
    <w:rsid w:val="00D91848"/>
    <w:rsid w:val="00DE4EEF"/>
    <w:rsid w:val="00E34069"/>
    <w:rsid w:val="00E51749"/>
    <w:rsid w:val="00E73DA2"/>
    <w:rsid w:val="00E742B2"/>
    <w:rsid w:val="00EA0415"/>
    <w:rsid w:val="00FA2CC3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59B2F85-EFEC-48F5-B011-64FB0C85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D2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63403D"/>
    <w:pPr>
      <w:spacing w:after="120"/>
    </w:pPr>
  </w:style>
  <w:style w:type="character" w:customStyle="1" w:styleId="a8">
    <w:name w:val="本文 字元"/>
    <w:link w:val="a7"/>
    <w:uiPriority w:val="99"/>
    <w:locked/>
    <w:rsid w:val="0063403D"/>
    <w:rPr>
      <w:rFonts w:ascii="Times New Roman" w:eastAsia="新細明體" w:hAnsi="Times New Roman" w:cs="Times New Roman"/>
      <w:sz w:val="24"/>
      <w:szCs w:val="24"/>
    </w:rPr>
  </w:style>
  <w:style w:type="paragraph" w:customStyle="1" w:styleId="a9">
    <w:name w:val="內文 + 標楷體"/>
    <w:aliases w:val="14 點"/>
    <w:basedOn w:val="a"/>
    <w:uiPriority w:val="99"/>
    <w:rsid w:val="00443557"/>
    <w:pPr>
      <w:spacing w:line="240" w:lineRule="atLeast"/>
      <w:ind w:leftChars="250" w:left="771" w:hangingChars="61" w:hanging="171"/>
    </w:pPr>
    <w:rPr>
      <w:rFonts w:ascii="標楷體" w:eastAsia="標楷體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C4C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C4C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436</Words>
  <Characters>2488</Characters>
  <Application>Microsoft Office Word</Application>
  <DocSecurity>0</DocSecurity>
  <Lines>20</Lines>
  <Paragraphs>5</Paragraphs>
  <ScaleCrop>false</ScaleCrop>
  <Company>DOH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衛生福利部工程施工查核小組</dc:title>
  <dc:creator>秘書室張騰方</dc:creator>
  <cp:lastModifiedBy>秘書處朱玉</cp:lastModifiedBy>
  <cp:revision>3</cp:revision>
  <cp:lastPrinted>2018-07-19T07:34:00Z</cp:lastPrinted>
  <dcterms:created xsi:type="dcterms:W3CDTF">2014-12-27T10:49:00Z</dcterms:created>
  <dcterms:modified xsi:type="dcterms:W3CDTF">2018-07-19T07:36:00Z</dcterms:modified>
</cp:coreProperties>
</file>